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10 grudnia 2024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VII/.../2024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Gminy Brańsk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.................... 2024 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zamiaru połączenia samorządowych instytucji kultury - Gminnej Biblioteki Publicznej w Kalnicy oraz Gminnego Ośrodka Upowszechniania Kultury im. Anny Dernowskiej w Kalnicy</w:t>
      </w: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i utworzenia Gminnego Centrum Biblioteczno-Kulturalnego im. Anny Dernowskiej w Kalnicy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7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ust.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1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pkt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9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oraz art.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18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ust.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2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pkt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9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lit. h ustawy z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r. 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samorządzie gminnym (t.j. Dz.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U. z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2024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r. poz. 1465), art.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18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ust.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1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i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3 ustawy z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dnia 25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października 1991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r. 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organizowaniu i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prowadzeniu działalności kulturalnej (Dz.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U. z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2024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87), art.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13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ust.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2, 7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i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8 ustawy z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czerwca 1997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r. 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bibliotekach (Dz.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U. z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2022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2393), Rada Gminy Brańsk uchwala,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sz w:val="24"/>
        </w:rPr>
        <w:t>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 celu efektywnego wykonywania zadań Gminy Brańsk zmierzających do zaspokajania potrzeb mieszkańców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zakresie kultury, a także upraszczania struktur zarządzania zamierza się połączyć od dnia 1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stycznia 2026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roku samorządowe instytucje kultury: Gminną Bibliotekę Publiczną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Kalnicy oraz  Gminny Ośrodek Upowszechniania Kultury im. Anny Dernowskiej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Kalnicy dla których organizatorem jest Gmina Brańsk,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jedną samorządową instytucję kultury 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nazwie: Gminne Centrum Biblioteczno-Kulturalne im. Anny Dernowskiej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Kalnicy. 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Połączenie, 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którym mowa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1, nie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spowoduje uszczerbku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wykonywaniu dotychczasowych zadań Gminnej Biblioteki Publicznej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Kalnicy oraz Gminnego Ośrodka Upowszechniania Kultury im. Anny Dernowskiej 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Kalnicy.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Przedmiotem działalności samorządowej instytucji kultury - Gminnego Centrum Biblioteczno-Kulturalnego im. Anny Dernowskiej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Kalnicy będzie wykonywanie dotychczasowych zadań połączonych samorządowych instytucji kultury, określonych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Niniejszą uchwałę wraz z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uzasadnieniem przekazuje się Krajowej Radzie Bibliotecznej oraz Książnicy Podlaskiej im. Łukasza Górnickiego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Białymstoku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celu zasięgnięcia opinii.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Zobowiązuje się Wójta Gminy Brańsk, po uzyskaniu opinii, 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2, do wystąpienia z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wnioskiem do właściwego ministra do spraw kultury i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ochrony dziedzictwa narodowego 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wyrażenie zgody na połączenie samorządowych instytucji kultury, o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których mowa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§ 1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4.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Treść uchwały wraz z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uzasadnieniem podaje się do wiadomości publicznej poprzez ogłoszenie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Biuletynie Informacji Publicznej Urzędu Gminy Brańsk oraz na tablicy ogłoszeń Urzędu Gminy Brańsk.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5.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Wójtowi Gminy Brańsk.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6.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Verdana" w:eastAsia="Verdana" w:hAnsi="Verdana" w:cs="Verdana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Verdana" w:eastAsia="Verdana" w:hAnsi="Verdana" w:cs="Verdana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Przewodniczący Rady Gminy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b/>
              </w:rPr>
              <w:t xml:space="preserve">Norbert </w:t>
            </w:r>
            <w:r>
              <w:t>Olendzki</w:t>
            </w:r>
          </w:p>
        </w:tc>
      </w:tr>
    </w:tbl>
    <w:p w:rsidR="00A77B3E">
      <w:pPr>
        <w:spacing w:before="0" w:after="0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 w:val="22"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Zgodnie z przepisem art. 18 ust. 1 ustawy z dnia 25 października 1991 r. o organizowaniu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i prowadzeniu działalności kulturalnej (Dz. U. z 20</w:t>
      </w:r>
      <w:r>
        <w:rPr>
          <w:rFonts w:eastAsia="Times New Roman" w:cs="Times New Roman"/>
          <w:szCs w:val="20"/>
        </w:rPr>
        <w:t>24</w:t>
      </w:r>
      <w:r>
        <w:rPr>
          <w:rFonts w:eastAsia="Times New Roman" w:cs="Times New Roman"/>
          <w:szCs w:val="20"/>
        </w:rPr>
        <w:t> r. poz. </w:t>
      </w:r>
      <w:r>
        <w:rPr>
          <w:rFonts w:eastAsia="Times New Roman" w:cs="Times New Roman"/>
          <w:szCs w:val="20"/>
        </w:rPr>
        <w:t>87</w:t>
      </w:r>
      <w:r>
        <w:rPr>
          <w:rFonts w:eastAsia="Times New Roman" w:cs="Times New Roman"/>
          <w:szCs w:val="20"/>
        </w:rPr>
        <w:t>), organizator może dokonać połączenia instytucji kultury, w tym instytucji prowadzących działalność w różnych formach.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W myśl art. 19 ust. 1 ustawy o organizowaniu i prowadzeniu działalności kulturalnej, połączenie instytucji kultury polega na utworzeniu jednej instytucji, w której skład wchodzą pracownicy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i mienie należące do instytucji podlegających połączeniu. Natomiast możliwość dokonania połączenia biblioteki wynika z art. 13 ustawy z dnia 27 czerwca 1997 r. o bibliotekach (Dz. U. z 20</w:t>
      </w:r>
      <w:r>
        <w:rPr>
          <w:rFonts w:eastAsia="Times New Roman" w:cs="Times New Roman"/>
          <w:szCs w:val="20"/>
        </w:rPr>
        <w:t>22</w:t>
      </w:r>
      <w:r>
        <w:rPr>
          <w:rFonts w:eastAsia="Times New Roman" w:cs="Times New Roman"/>
          <w:szCs w:val="20"/>
        </w:rPr>
        <w:t> r. poz. </w:t>
      </w:r>
      <w:r>
        <w:rPr>
          <w:rFonts w:eastAsia="Times New Roman" w:cs="Times New Roman"/>
          <w:szCs w:val="20"/>
        </w:rPr>
        <w:t>2393</w:t>
      </w:r>
      <w:r>
        <w:rPr>
          <w:rFonts w:eastAsia="Times New Roman" w:cs="Times New Roman"/>
          <w:szCs w:val="20"/>
        </w:rPr>
        <w:t>). Jednakże, aby to nastąpiło, organizator jest obowiązany na 6 miesięcy przed dniem wydania aktu o połączeniu podać do publicznej wiadomości informację o swoim zamiarze wraz z uzasadnieniem (art. 13 ust. 2 ustawy o bibliotekach). Ponadto na organizatorze przy połączeniu biblioteki ciąży obowiązek zasięgnięcia opinii Krajowej Rady Bibliotecznej i Wojewódzkiej Biblioteki Publicznej w Białymstoku oraz uzyskanie zgody od Ministra właściwego do spraw kultury i ochrony dziedzictwa narodowego.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wnioskiem w sprawie połączenia samorządowych instytucji kultury Gmina Brańsk wystąpiła w lipcu 2024 r. i uzyskała negatywne opinie Krajowej Rady Bibliotecznej i Książnicy Podlaskiej w Białymstoku. </w:t>
      </w:r>
      <w:r>
        <w:rPr>
          <w:rFonts w:eastAsia="Times New Roman" w:cs="Times New Roman"/>
          <w:szCs w:val="20"/>
        </w:rPr>
        <w:t xml:space="preserve">W związku z powyższym konieczne jest </w:t>
      </w:r>
      <w:r>
        <w:rPr>
          <w:rFonts w:eastAsia="Times New Roman" w:cs="Times New Roman"/>
          <w:szCs w:val="20"/>
        </w:rPr>
        <w:t xml:space="preserve">ponowienie wniosku i </w:t>
      </w:r>
      <w:r>
        <w:rPr>
          <w:rFonts w:eastAsia="Times New Roman" w:cs="Times New Roman"/>
          <w:szCs w:val="20"/>
        </w:rPr>
        <w:t xml:space="preserve">podjęcie </w:t>
      </w:r>
      <w:r>
        <w:rPr>
          <w:rFonts w:eastAsia="Times New Roman" w:cs="Times New Roman"/>
          <w:szCs w:val="20"/>
        </w:rPr>
        <w:t xml:space="preserve">kolejnej </w:t>
      </w:r>
      <w:r>
        <w:rPr>
          <w:rFonts w:eastAsia="Times New Roman" w:cs="Times New Roman"/>
          <w:szCs w:val="20"/>
        </w:rPr>
        <w:t>uchwały przez Radę Gminy Brańsk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o zamiarze połączenia samorządowych instytucji kultury. Zamiar utworzenia Gminnego Centrum Biblioteczno-Kulturalnego </w:t>
      </w:r>
      <w:r>
        <w:rPr>
          <w:rFonts w:eastAsia="Times New Roman" w:cs="Times New Roman"/>
          <w:szCs w:val="20"/>
        </w:rPr>
        <w:t xml:space="preserve">im. Anny Dernowskiej </w:t>
      </w:r>
      <w:r>
        <w:rPr>
          <w:rFonts w:eastAsia="Times New Roman" w:cs="Times New Roman"/>
          <w:szCs w:val="20"/>
        </w:rPr>
        <w:t>w Kalnicy jest wynikiem dążenia do efektywniejszego wykonywania zadań Gminy w sferze kultury, m.in. poprzez uproszczanie struktur zarządzania oraz sprawniejszą organizację pracy w samorządowych instytucjach kultury ‒ mając na względzie potrzeby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>i oczekiwania mieszkańców gminy.</w:t>
      </w:r>
      <w:r>
        <w:rPr>
          <w:rFonts w:eastAsia="Times New Roman" w:cs="Times New Roman"/>
          <w:szCs w:val="20"/>
        </w:rPr>
        <w:t xml:space="preserve"> Dotychczasowa współpraca obu instytucji zostanie wzmocniona poprzez podjęcie wspólnych działań i inicjatyw jako jednej jednostki.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W związku z połączeniem obu instytucji nie ulegnie obniżeniu jakość świadczonych usług. Połączenie samorządowych instytucji kultury zapewni jedynie skoordynowanie działań w sferze kultury (tj. będą wykonywane przez jeden podmiot); zapewni sprawniejsze zarządzanie</w:t>
      </w:r>
      <w:r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 xml:space="preserve">i podejmowanie działań zapewniających lepszy poziom usług i imprez organizowanych na terenie gminy. Zapewni także wydajniejsze i elastyczniejsze zarządzanie pracownikami oraz racjonalizację wydatków, przy tych samych zasobach kadrowych i materialnych. Racjonalizacja wydatków umożliwi przeznaczenie większej ilości środków na uzupełnienie zbiorów bibliotecznych. Dzięki połączeniu z jednej strony nastąpi obniżenie kosztów operacyjnych/administracyjnych, a z drugiej – zwiększenie środków finansowych na bezpośrednią działalność </w:t>
      </w:r>
      <w:r>
        <w:rPr>
          <w:rFonts w:eastAsia="Times New Roman" w:cs="Times New Roman"/>
          <w:szCs w:val="20"/>
        </w:rPr>
        <w:t xml:space="preserve">przede wszystkim </w:t>
      </w:r>
      <w:r>
        <w:rPr>
          <w:rFonts w:eastAsia="Times New Roman" w:cs="Times New Roman"/>
          <w:szCs w:val="20"/>
        </w:rPr>
        <w:t>czytelniczą; przyczyni się także do większej promocji korzystania z zasobów kultury, w tym promocji czytania książek. Wśród argumentów przemawiającym za połączeniem obu instytucji jest także fakt, iż obie te instytucje mają swoją siedzibę w Kalnicy, pod tym samym adresem. Tu także znajduje się Izba Pamięci</w:t>
      </w:r>
      <w:r>
        <w:rPr>
          <w:rFonts w:eastAsia="Times New Roman" w:cs="Times New Roman"/>
          <w:szCs w:val="20"/>
        </w:rPr>
        <w:t>,</w:t>
      </w:r>
      <w:r>
        <w:rPr>
          <w:rFonts w:eastAsia="Times New Roman" w:cs="Times New Roman"/>
          <w:szCs w:val="20"/>
        </w:rPr>
        <w:t xml:space="preserve"> która została utworzona w pomieszczeniach na piętrze budynku.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Połączenie nie spowoduje uszczerbku w wykonywaniu dotychczasowych zadań przez podlegające połączeniu instytucje i nie będzie miało wpływu na wykonywanie zadań określonych ustawą o bibliotekach, a jednocześnie przyczyni się do zwiększenia nadzoru nad działalnością instytucji kultury. Połączenie jest w pełni uzasadnione merytorycznie i ekonomicznie.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Mając na uwadze cel połączenia instytucji kultury, wymagania stawiane bibliotekom publicznym, skutki prawne, finansowe i organizacyjne połączenia oraz ocenę wpływu połączenia na wykonywanie dotychczasowych zadań, w szczególności zadań biblioteki ‒ należy podjąć uchwałę o zamiarze połączenia instytucji kultury, która jest w pełni uzasadniona.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76" w:lineRule="auto"/>
        <w:ind w:left="0" w:right="0" w:firstLine="227"/>
        <w:contextualSpacing w:val="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Z chwilą wpisu do Rejestru Samorządowych Instytucji Kultury Gminne Centrum Biblioteczno-Kulturalne</w:t>
      </w:r>
      <w:r>
        <w:rPr>
          <w:rFonts w:eastAsia="Times New Roman" w:cs="Times New Roman"/>
          <w:szCs w:val="20"/>
        </w:rPr>
        <w:t xml:space="preserve"> im. Anny Dernowskiej w Klanicy</w:t>
      </w:r>
      <w:r>
        <w:rPr>
          <w:rFonts w:eastAsia="Times New Roman" w:cs="Times New Roman"/>
          <w:szCs w:val="20"/>
        </w:rPr>
        <w:t xml:space="preserve"> przejmie całe mienie połączonych instytucji oraz wstąpi we wszystkie prawa i obowiązki połączonych instytucji, w tym przejmie wszystkie należności i zobowiązania. Pracownicy połączonych instytucji staną się pracownikami Gminnego Centrum Biblioteczno-Kulturalnego. W skutek połączenia nie nastąpi redukcja etatów</w:t>
      </w:r>
      <w:r>
        <w:rPr>
          <w:rFonts w:eastAsia="Times New Roman" w:cs="Times New Roman"/>
          <w:szCs w:val="20"/>
        </w:rPr>
        <w:t>, a wręcz ich rozszerzenie.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2F43A8DF-7CD9-4D59-A536-E7DF9EAC5A09.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2F43A8DF-7CD9-4D59-A536-E7DF9EAC5A09.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Brańsk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VII/.../2024</dc:title>
  <dc:subject>w sprawie zamiaru połączenia samorządowych instytucji kultury - Gminnej Biblioteki Publicznej w^Kalnicy oraz Gminnego Ośrodka Upowszechniania Kultury im. Anny Dernowskiej w^Kalnicy
i utworzenia Gminnego Centrum Biblioteczno-Kulturalnego im. Anny Dernowskiej w^Kalnicy</dc:subject>
  <dc:creator>a.adamczyk</dc:creator>
  <cp:lastModifiedBy>a.adamczyk</cp:lastModifiedBy>
  <cp:revision>1</cp:revision>
  <dcterms:created xsi:type="dcterms:W3CDTF">2024-12-10T09:01:48Z</dcterms:created>
  <dcterms:modified xsi:type="dcterms:W3CDTF">2024-12-10T09:01:48Z</dcterms:modified>
  <cp:category>Akt prawny</cp:category>
</cp:coreProperties>
</file>